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R5-212678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May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28th May 2021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1223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R16 new CBW configurations into TS38.521-1 clause 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Unicom, China Telecommunications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Anritsu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D</w:t>
            </w:r>
            <w:r>
              <w:rPr>
                <w:rFonts w:hint="eastAsia" w:eastAsia="宋体"/>
                <w:lang w:val="en-US" w:eastAsia="zh-CN"/>
              </w:rPr>
              <w:t>ish</w:t>
            </w:r>
            <w:r>
              <w:t xml:space="preserve"> Network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NR_bands_BW_R16-UEConTest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2021-05-06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Some R16 new CBWs which are already 100% completion in RAN4 and assigned to interested companies need to be added into operating bands and channel bandwidth of TS38.521-1.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New CBWs：</w:t>
            </w:r>
            <w:r>
              <w:t>n3</w:t>
            </w:r>
            <w:r>
              <w:rPr>
                <w:rFonts w:hint="eastAsia"/>
              </w:rPr>
              <w:t xml:space="preserve"> 40M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val="en-US"/>
              </w:rPr>
              <w:t>Updated Table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5.3.5-1</w:t>
            </w:r>
          </w:p>
          <w:p>
            <w:pPr>
              <w:pStyle w:val="81"/>
              <w:spacing w:after="0"/>
              <w:ind w:left="100"/>
            </w:pPr>
            <w:r>
              <w:rPr>
                <w:lang w:val="en-US"/>
              </w:rPr>
              <w:t>Updated Table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5.3A.5-2</w:t>
            </w:r>
          </w:p>
          <w:p>
            <w:pPr>
              <w:pStyle w:val="81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lang w:val="en-US"/>
              </w:rPr>
              <w:t>Updated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Table 5.4.4-1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t>The actived R16 new CBW configurations in clause 5 will be still missing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t xml:space="preserve">The clause 5 will be inconsistent with 38.101-1 </w:t>
            </w:r>
            <w:r>
              <w:rPr>
                <w:rFonts w:hint="eastAsia" w:eastAsia="宋体"/>
                <w:lang w:val="en-US" w:eastAsia="zh-CN"/>
              </w:rPr>
              <w:t>g70.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5.3.5, </w:t>
            </w:r>
            <w:r>
              <w:t>5.3A.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5.4.4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yellow"/>
              </w:rPr>
            </w:pPr>
            <w:r>
              <w:rPr>
                <w:highlight w:val="yellow"/>
              </w:rPr>
              <w:t>R</w:t>
            </w:r>
            <w:r>
              <w:rPr>
                <w:rFonts w:hint="eastAsia"/>
                <w:highlight w:val="yellow"/>
              </w:rPr>
              <w:t xml:space="preserve">1：Removed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note2 in</w:t>
            </w:r>
            <w:r>
              <w:rPr>
                <w:rFonts w:hint="eastAsia"/>
                <w:highlight w:val="yellow"/>
              </w:rPr>
              <w:t xml:space="preserve"> </w:t>
            </w:r>
            <w:r>
              <w:rPr>
                <w:highlight w:val="yellow"/>
              </w:rPr>
              <w:t>Table 5.4.4-1</w:t>
            </w:r>
            <w:bookmarkStart w:id="28" w:name="_GoBack"/>
            <w:bookmarkEnd w:id="28"/>
          </w:p>
          <w:p>
            <w:pPr>
              <w:pStyle w:val="81"/>
              <w:spacing w:after="0"/>
              <w:ind w:left="100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 xml:space="preserve"> 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Added  </w:t>
            </w: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SourceIfWg  \* MERGEFORMAT </w:instrText>
            </w:r>
            <w:r>
              <w:rPr>
                <w:highlight w:val="yellow"/>
              </w:rPr>
              <w:fldChar w:fldCharType="separate"/>
            </w:r>
            <w:r>
              <w:rPr>
                <w:highlight w:val="yellow"/>
              </w:rPr>
              <w:t>Anritsu</w:t>
            </w:r>
            <w:r>
              <w:rPr>
                <w:highlight w:val="yellow"/>
              </w:rPr>
              <w:fldChar w:fldCharType="end"/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, </w:t>
            </w:r>
            <w:r>
              <w:rPr>
                <w:highlight w:val="yellow"/>
              </w:rPr>
              <w:t>D</w:t>
            </w:r>
            <w:r>
              <w:rPr>
                <w:rFonts w:hint="eastAsia" w:eastAsia="宋体"/>
                <w:highlight w:val="yellow"/>
                <w:lang w:val="en-US" w:eastAsia="zh-CN"/>
              </w:rPr>
              <w:t>ish</w:t>
            </w:r>
            <w:r>
              <w:rPr>
                <w:highlight w:val="yellow"/>
              </w:rPr>
              <w:t xml:space="preserve"> Network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as co-source company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color w:val="FF0000"/>
        </w:rPr>
      </w:pPr>
      <w:r>
        <w:rPr>
          <w:color w:val="FF0000"/>
        </w:rPr>
        <w:t>&lt;Start of Changes&gt;</w:t>
      </w:r>
    </w:p>
    <w:p>
      <w:pPr>
        <w:pStyle w:val="4"/>
      </w:pPr>
      <w:bookmarkStart w:id="1" w:name="_Toc27477751"/>
      <w:bookmarkStart w:id="2" w:name="_Toc44323685"/>
      <w:bookmarkStart w:id="3" w:name="_Toc60823022"/>
      <w:bookmarkStart w:id="4" w:name="_Toc36226430"/>
      <w:bookmarkStart w:id="5" w:name="_Toc69309697"/>
      <w:bookmarkStart w:id="6" w:name="_Toc52989833"/>
      <w:bookmarkStart w:id="7" w:name="_Toc60824945"/>
      <w:bookmarkStart w:id="8" w:name="_Toc69305842"/>
      <w:r>
        <w:t>5.3.5</w:t>
      </w:r>
      <w:r>
        <w:tab/>
      </w:r>
      <w:r>
        <w:t>UE channel bandwidth per operating band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 xml:space="preserve"> </w:t>
      </w:r>
    </w:p>
    <w:p>
      <w: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>
      <w:pPr>
        <w:pStyle w:val="55"/>
      </w:pPr>
      <w:r>
        <w:t>Table 5.3.5-1: Channel Bandwidths for Each NR band</w:t>
      </w:r>
    </w:p>
    <w:tbl>
      <w:tblPr>
        <w:tblStyle w:val="42"/>
        <w:tblW w:w="4817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"/>
        <w:gridCol w:w="32"/>
        <w:gridCol w:w="555"/>
        <w:gridCol w:w="592"/>
        <w:gridCol w:w="661"/>
        <w:gridCol w:w="587"/>
        <w:gridCol w:w="661"/>
        <w:gridCol w:w="592"/>
        <w:gridCol w:w="693"/>
        <w:gridCol w:w="661"/>
        <w:gridCol w:w="592"/>
        <w:gridCol w:w="592"/>
        <w:gridCol w:w="661"/>
        <w:gridCol w:w="592"/>
        <w:gridCol w:w="762"/>
        <w:gridCol w:w="59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68" w:type="pct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pStyle w:val="51"/>
            </w:pPr>
          </w:p>
        </w:tc>
        <w:tc>
          <w:tcPr>
            <w:tcW w:w="4632" w:type="pct"/>
            <w:gridSpan w:val="1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pStyle w:val="51"/>
            </w:pPr>
            <w:r>
              <w:t>NR band / SCS / UE Channel bandwidth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SCS</w:t>
            </w:r>
          </w:p>
          <w:p>
            <w:pPr>
              <w:pStyle w:val="51"/>
            </w:pPr>
            <w:r>
              <w:t>kHz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5 MHz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1"/>
            </w:pPr>
            <w:r>
              <w:t>10 MHz</w:t>
            </w:r>
          </w:p>
        </w:tc>
        <w:tc>
          <w:tcPr>
            <w:tcW w:w="309" w:type="pct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1"/>
            </w:pPr>
            <w:r>
              <w:t>15 MHz</w:t>
            </w:r>
          </w:p>
        </w:tc>
        <w:tc>
          <w:tcPr>
            <w:tcW w:w="348" w:type="pct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1"/>
            </w:pPr>
            <w:r>
              <w:t>20 MHz</w:t>
            </w:r>
          </w:p>
        </w:tc>
        <w:tc>
          <w:tcPr>
            <w:tcW w:w="312" w:type="pct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25 MHz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>
            <w:pPr>
              <w:pStyle w:val="51"/>
            </w:pPr>
            <w:r>
              <w:t>30 MHz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1"/>
            </w:pPr>
            <w:r>
              <w:t>40 MHz</w:t>
            </w:r>
          </w:p>
        </w:tc>
        <w:tc>
          <w:tcPr>
            <w:tcW w:w="312" w:type="pct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1"/>
            </w:pPr>
            <w:r>
              <w:t>50 MHz</w:t>
            </w:r>
          </w:p>
        </w:tc>
        <w:tc>
          <w:tcPr>
            <w:tcW w:w="312" w:type="pct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1"/>
            </w:pPr>
            <w:r>
              <w:t>60 MHz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>
            <w:pPr>
              <w:pStyle w:val="51"/>
            </w:pPr>
            <w:r>
              <w:t>70</w:t>
            </w:r>
            <w:r>
              <w:rPr>
                <w:vertAlign w:val="superscript"/>
              </w:rPr>
              <w:t>6</w:t>
            </w:r>
            <w:r>
              <w:t xml:space="preserve"> MHz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80 MHz</w:t>
            </w: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51"/>
            </w:pPr>
            <w:r>
              <w:rPr>
                <w:rFonts w:eastAsia="Yu Mincho"/>
              </w:rPr>
              <w:t>90</w:t>
            </w:r>
            <w:r>
              <w:rPr>
                <w:rFonts w:eastAsia="Yu Mincho"/>
                <w:b w:val="0"/>
                <w:vertAlign w:val="superscript"/>
              </w:rPr>
              <w:t>6</w:t>
            </w:r>
            <w:r>
              <w:rPr>
                <w:rFonts w:eastAsia="Yu Mincho"/>
              </w:rPr>
              <w:t xml:space="preserve"> MHz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51"/>
              <w:rPr>
                <w:rFonts w:eastAsia="Yu Mincho"/>
              </w:rPr>
            </w:pPr>
            <w:r>
              <w:rPr>
                <w:rFonts w:eastAsia="Yu Mincho"/>
              </w:rPr>
              <w:t>100 MHz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</w:rPr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ins w:id="0" w:author="China Unicom" w:date="2021-05-07T16:24:27Z">
              <w:r>
                <w:rPr/>
                <w:t>Yes</w:t>
              </w:r>
            </w:ins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ins w:id="1" w:author="China Unicom" w:date="2021-05-07T16:24:29Z">
              <w:r>
                <w:rPr/>
                <w:t>Yes</w:t>
              </w:r>
            </w:ins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ins w:id="2" w:author="China Unicom" w:date="2021-05-07T16:24:30Z">
              <w:r>
                <w:rPr/>
                <w:t>Yes</w:t>
              </w:r>
            </w:ins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n12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n14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Yu Mincho"/>
              </w:rP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n20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n25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n26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9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6,9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9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6,9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n30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n34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n38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11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11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  <w:r>
              <w:rPr>
                <w:rFonts w:eastAsia="Yu Mincho"/>
                <w:vertAlign w:val="superscript"/>
              </w:rPr>
              <w:t>11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11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11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  <w:r>
              <w:rPr>
                <w:rFonts w:eastAsia="Yu Mincho"/>
                <w:vertAlign w:val="superscript"/>
              </w:rPr>
              <w:t>11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11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11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  <w:r>
              <w:rPr>
                <w:rFonts w:eastAsia="Yu Mincho"/>
                <w:vertAlign w:val="superscript"/>
              </w:rPr>
              <w:t>11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n39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n40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7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n41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n47</w:t>
            </w:r>
            <w:r>
              <w:rPr>
                <w:rFonts w:eastAsia="Malgun Gothic"/>
                <w:vertAlign w:val="superscript"/>
                <w:lang w:eastAsia="ko-KR"/>
              </w:rPr>
              <w:t>11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Yu Mincho"/>
              </w:rP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Yu Mincho"/>
              </w:rP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Yu Mincho"/>
              </w:rP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Yu Mincho"/>
              </w:rP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Yu Mincho"/>
              </w:rP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Yu Mincho"/>
              </w:rP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Yu Mincho"/>
              </w:rP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Yu Mincho"/>
              </w:rP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Yu Mincho"/>
              </w:rP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Yu Mincho"/>
              </w:rP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7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8,10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8,10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  <w:r>
              <w:rPr>
                <w:rFonts w:ascii="Arial" w:hAnsi="Arial"/>
                <w:sz w:val="18"/>
                <w:vertAlign w:val="superscript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n50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7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3</w:t>
            </w: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3</w:t>
            </w: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n51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n65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6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3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3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3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3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3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3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n74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n75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n76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10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Yes</w:t>
            </w:r>
            <w:r>
              <w:rPr>
                <w:vertAlign w:val="superscript"/>
              </w:rPr>
              <w:t>10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10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Yes</w:t>
            </w:r>
            <w:r>
              <w:rPr>
                <w:vertAlign w:val="superscript"/>
              </w:rPr>
              <w:t>10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10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  <w:r>
              <w:rPr>
                <w:vertAlign w:val="superscript"/>
              </w:rPr>
              <w:t>10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n53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n80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n81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n82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n83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n84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Yes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Yes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n86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eastAsia="zh-CN"/>
              </w:rPr>
              <w:t>n95</w:t>
            </w: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lang w:eastAsia="zh-CN"/>
              </w:rPr>
              <w:t>15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lang w:eastAsia="zh-CN"/>
              </w:rPr>
              <w:t>30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lang w:eastAsia="zh-CN"/>
              </w:rPr>
              <w:t>60</w:t>
            </w: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5000" w:type="pct"/>
            <w:gridSpan w:val="1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Void.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Void.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rFonts w:eastAsia="Yu Mincho"/>
              </w:rPr>
              <w:t>NOTE 3: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applicable only to downlink.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rFonts w:eastAsia="Yu Mincho"/>
              </w:rPr>
              <w:t>NOTE 4: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test configuration tables from the transmitter and receiver tests in Section 6 and 7 that refer to this table for test SCS, the Lowest SCS refers to lowest supported SCS per channel bandwidth, Highest SCS refers to highest supported SCS per channel bandwidth.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rFonts w:eastAsia="Yu Mincho"/>
              </w:rPr>
              <w:t>NOTE 5: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test configuration tables from the transmitter and receiver tests in Section 6 and 7 that refer to this table and list and list the test SCS as Mid or any other value; if that value is not supported by the UE in UL and/or DL, select the closest SCS supported by the UE in both UL and DL.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rFonts w:eastAsia="Yu Mincho"/>
              </w:rPr>
              <w:t>NOTE 6: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optional in R15.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rFonts w:eastAsia="Yu Mincho"/>
              </w:rPr>
              <w:t>NOTE 7: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this bandwidth, the minimum requirements are restricted to operation when carrier is configured as an SCell part of DC or CA configuration.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rFonts w:eastAsia="Yu Mincho"/>
              </w:rPr>
              <w:t>NOTE 8: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this bandwidth, the minimum requirements are restricted to operation when carrier is configured as a downlink SCell part of CA configuration.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rFonts w:eastAsia="Yu Mincho"/>
              </w:rPr>
              <w:t>NOTE 9: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the 20 MHz bandwidth, the minimum requirements are specified for NR UL carrier frequencies confined to either 713-723 MHz or 728-738 MHz. For the 30MHz bandwidth, the minimum requirements are specified for NR UL transmission bandwidth configuration confined to either 703-733 or 718-748 MHz.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rFonts w:eastAsia="Yu Mincho"/>
              </w:rPr>
              <w:t>NOTE 10: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optional in R16.</w:t>
            </w:r>
          </w:p>
          <w:p>
            <w:pPr>
              <w:pStyle w:val="66"/>
            </w:pPr>
            <w:r>
              <w:rPr>
                <w:rFonts w:eastAsia="Yu Mincho"/>
              </w:rPr>
              <w:t>NOTE 11: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These UE channel bandwidths are applicable to sidelink operation.</w:t>
            </w:r>
          </w:p>
        </w:tc>
      </w:tr>
    </w:tbl>
    <w:p>
      <w:pPr>
        <w:rPr>
          <w:lang w:eastAsia="zh-CN"/>
        </w:rPr>
      </w:pPr>
    </w:p>
    <w:p>
      <w:pPr>
        <w:keepNext/>
        <w:keepLines/>
        <w:spacing w:before="120"/>
        <w:ind w:left="1134" w:hanging="1134"/>
        <w:outlineLvl w:val="2"/>
        <w:rPr>
          <w:rFonts w:ascii="Arial" w:hAnsi="Arial" w:eastAsiaTheme="minorEastAsia"/>
          <w:color w:val="FF0000"/>
          <w:sz w:val="28"/>
        </w:rPr>
      </w:pPr>
      <w:bookmarkStart w:id="9" w:name="OLE_LINK130"/>
      <w:r>
        <w:rPr>
          <w:rFonts w:ascii="Arial" w:hAnsi="Arial" w:eastAsiaTheme="minorEastAsia"/>
          <w:color w:val="FF0000"/>
          <w:sz w:val="28"/>
        </w:rPr>
        <w:t>&lt;Unchanged Text Skipped&gt;</w:t>
      </w:r>
    </w:p>
    <w:bookmarkEnd w:id="9"/>
    <w:p>
      <w:pPr>
        <w:pStyle w:val="4"/>
        <w:rPr>
          <w:lang w:eastAsia="zh-CN"/>
        </w:rPr>
      </w:pPr>
      <w:bookmarkStart w:id="10" w:name="_Toc36226437"/>
      <w:bookmarkStart w:id="11" w:name="_Toc69309704"/>
      <w:bookmarkStart w:id="12" w:name="_Toc69305849"/>
      <w:bookmarkStart w:id="13" w:name="_Toc52989840"/>
      <w:bookmarkStart w:id="14" w:name="_Toc60823029"/>
      <w:bookmarkStart w:id="15" w:name="_Toc44323692"/>
      <w:bookmarkStart w:id="16" w:name="_Toc60824952"/>
      <w:bookmarkStart w:id="17" w:name="_Toc27477758"/>
      <w:r>
        <w:t>5.3A.</w:t>
      </w:r>
      <w:r>
        <w:rPr>
          <w:lang w:eastAsia="zh-CN"/>
        </w:rPr>
        <w:t>5</w:t>
      </w:r>
      <w:r>
        <w:tab/>
      </w:r>
      <w:r>
        <w:t>UE channel bandwidth per operating band for CA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>
      <w:r>
        <w:t>The requirements for carrier aggregation in this specification are defined for carrier aggregation configurations.</w:t>
      </w:r>
    </w:p>
    <w:p>
      <w:r>
        <w:t>For intra-band contiguous carrier aggregation, a carrier aggregation configuration is a single operating band supporting a carrier aggregation bandwidth class with associated bandwidth combination sets specified in clause 5.5A.1. For each carrier aggregation configuration, requirements are specified for all aggregated channel bandwidths contained in a bandwidth combination set, a UE can indicate support of several bandwidth combination sets per carrier aggregation configuration. For intra-band non-contiguous carrier aggregation, a carrier aggregation configuration is a single operating band supporting two or more sub-blocks, each supporting a carrier aggregation bandwidth class.</w:t>
      </w:r>
    </w:p>
    <w:p>
      <w:r>
        <w:t xml:space="preserve">For intra-band non-contiguous uplink carrier aggregation, </w:t>
      </w:r>
      <w:r>
        <w:rPr>
          <w:rFonts w:eastAsia="宋体"/>
        </w:rPr>
        <w:t xml:space="preserve">frequency separation class (Fs) specified in Table 5.3A.5-2 indicates the maximum frequency span </w:t>
      </w:r>
      <w:r>
        <w:rPr>
          <w:rFonts w:eastAsia="宋体"/>
          <w:lang w:eastAsia="ja-JP"/>
        </w:rPr>
        <w:t>between lower edge of lowest component carrier and upper edge of highest component carrier that UE can support per band combination in uplink in non-contiguous intra-band operation.</w:t>
      </w:r>
    </w:p>
    <w:p>
      <w:pPr>
        <w:rPr>
          <w:lang w:eastAsia="zh-CN"/>
        </w:rPr>
      </w:pPr>
      <w:r>
        <w:t>For inter-band carrier aggregation, a carrier aggregation configuration is a combination of operating bands, each supporting a carrier aggregation bandwidth class.</w:t>
      </w:r>
    </w:p>
    <w:p>
      <w:pPr>
        <w:pStyle w:val="55"/>
      </w:pPr>
      <w:r>
        <w:t>Table 5.3A.5-1: NR CA bandwidth classes</w:t>
      </w:r>
    </w:p>
    <w:tbl>
      <w:tblPr>
        <w:tblStyle w:val="42"/>
        <w:tblW w:w="9865" w:type="dxa"/>
        <w:tblInd w:w="-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34"/>
        <w:gridCol w:w="3354"/>
        <w:gridCol w:w="2218"/>
        <w:gridCol w:w="19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</w:pPr>
            <w:r>
              <w:t>NR CA bandwidth class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</w:pPr>
            <w:r>
              <w:t>Aggregated channel bandwidth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</w:pPr>
            <w:r>
              <w:t>Number of contiguous CC</w:t>
            </w:r>
          </w:p>
        </w:tc>
        <w:tc>
          <w:tcPr>
            <w:tcW w:w="1959" w:type="dxa"/>
          </w:tcPr>
          <w:p>
            <w:pPr>
              <w:pStyle w:val="51"/>
            </w:pPr>
            <w:r>
              <w:t>Fallback group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A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BW</w:t>
            </w:r>
            <w:r>
              <w:rPr>
                <w:vertAlign w:val="subscript"/>
              </w:rPr>
              <w:t xml:space="preserve">Channel </w:t>
            </w:r>
            <w:r>
              <w:t>≤ BW</w:t>
            </w:r>
            <w:r>
              <w:rPr>
                <w:vertAlign w:val="subscript"/>
              </w:rPr>
              <w:t>Channel,max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</w:t>
            </w:r>
          </w:p>
        </w:tc>
        <w:tc>
          <w:tcPr>
            <w:tcW w:w="1959" w:type="dxa"/>
          </w:tcPr>
          <w:p>
            <w:pPr>
              <w:pStyle w:val="52"/>
            </w:pPr>
            <w:r>
              <w:t>1, 2, 3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B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20 MHz ≤ BW</w:t>
            </w:r>
            <w:r>
              <w:rPr>
                <w:vertAlign w:val="subscript"/>
              </w:rPr>
              <w:t>Channel_CA</w:t>
            </w:r>
            <w:r>
              <w:t xml:space="preserve"> ≤ 100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2</w:t>
            </w:r>
          </w:p>
        </w:tc>
        <w:tc>
          <w:tcPr>
            <w:tcW w:w="1959" w:type="dxa"/>
          </w:tcPr>
          <w:p>
            <w:pPr>
              <w:pStyle w:val="52"/>
            </w:pPr>
            <w:r>
              <w:t>2, 3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C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100 MHz &lt; BW</w:t>
            </w:r>
            <w:r>
              <w:rPr>
                <w:vertAlign w:val="subscript"/>
              </w:rPr>
              <w:t>Channel_CA</w:t>
            </w:r>
            <w:r>
              <w:t xml:space="preserve"> ≤ 2 x BW</w:t>
            </w:r>
            <w:r>
              <w:rPr>
                <w:rFonts w:ascii="Times New Roman" w:hAnsi="Times New Roman"/>
                <w:sz w:val="20"/>
                <w:vertAlign w:val="subscript"/>
              </w:rPr>
              <w:t>Channel,max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2</w:t>
            </w:r>
          </w:p>
        </w:tc>
        <w:tc>
          <w:tcPr>
            <w:tcW w:w="1959" w:type="dxa"/>
            <w:vMerge w:val="restart"/>
          </w:tcPr>
          <w:p>
            <w:pPr>
              <w:pStyle w:val="52"/>
            </w:pPr>
            <w:r>
              <w:t>1, 3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D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200 MHz &lt; BW</w:t>
            </w:r>
            <w:r>
              <w:rPr>
                <w:vertAlign w:val="subscript"/>
              </w:rPr>
              <w:t>Channel_CA</w:t>
            </w:r>
            <w:r>
              <w:t xml:space="preserve"> ≤ 3 x BW</w:t>
            </w:r>
            <w:r>
              <w:rPr>
                <w:vertAlign w:val="subscript"/>
              </w:rPr>
              <w:t>Channel,max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3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E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300 MHz &lt; BW</w:t>
            </w:r>
            <w:r>
              <w:rPr>
                <w:vertAlign w:val="subscript"/>
              </w:rPr>
              <w:t>Channel_CA</w:t>
            </w:r>
            <w:r>
              <w:t xml:space="preserve"> ≤ 4 x BW</w:t>
            </w:r>
            <w:r>
              <w:rPr>
                <w:vertAlign w:val="subscript"/>
              </w:rPr>
              <w:t>Channel,max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4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G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100 MHz &lt; BW</w:t>
            </w:r>
            <w:r>
              <w:rPr>
                <w:vertAlign w:val="subscript"/>
              </w:rPr>
              <w:t>Channel_CA</w:t>
            </w:r>
            <w:r>
              <w:t xml:space="preserve"> ≤ 150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3</w:t>
            </w:r>
          </w:p>
        </w:tc>
        <w:tc>
          <w:tcPr>
            <w:tcW w:w="1959" w:type="dxa"/>
            <w:vMerge w:val="restart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H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150 MHz &lt; BW</w:t>
            </w:r>
            <w:r>
              <w:rPr>
                <w:vertAlign w:val="subscript"/>
              </w:rPr>
              <w:t>Channel_CA</w:t>
            </w:r>
            <w:r>
              <w:t xml:space="preserve"> ≤ 200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4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I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200 MHz &lt; BW</w:t>
            </w:r>
            <w:r>
              <w:rPr>
                <w:vertAlign w:val="subscript"/>
              </w:rPr>
              <w:t>Channel_CA</w:t>
            </w:r>
            <w:r>
              <w:t xml:space="preserve"> ≤ 250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5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J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250 MHz &lt; BW</w:t>
            </w:r>
            <w:r>
              <w:rPr>
                <w:vertAlign w:val="subscript"/>
              </w:rPr>
              <w:t>Channel_CA</w:t>
            </w:r>
            <w:r>
              <w:t xml:space="preserve"> ≤ 300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6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K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300 MHz &lt; BW</w:t>
            </w:r>
            <w:r>
              <w:rPr>
                <w:vertAlign w:val="subscript"/>
              </w:rPr>
              <w:t>Channel_CA</w:t>
            </w:r>
            <w:r>
              <w:t xml:space="preserve"> ≤ 350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7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L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350 MHz &lt; BW</w:t>
            </w:r>
            <w:r>
              <w:rPr>
                <w:vertAlign w:val="subscript"/>
              </w:rPr>
              <w:t>Channel_CA</w:t>
            </w:r>
            <w:r>
              <w:t xml:space="preserve"> ≤ 400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8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50 MHz  ≤ BW</w:t>
            </w:r>
            <w:r>
              <w:rPr>
                <w:vertAlign w:val="subscript"/>
              </w:rPr>
              <w:t>Channel_CA</w:t>
            </w:r>
            <w:r>
              <w:t xml:space="preserve"> ≤ 200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3</w:t>
            </w:r>
          </w:p>
        </w:tc>
        <w:tc>
          <w:tcPr>
            <w:tcW w:w="1959" w:type="dxa"/>
            <w:vMerge w:val="restart"/>
          </w:tcPr>
          <w:p>
            <w:pPr>
              <w:pStyle w:val="52"/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N</w:t>
            </w:r>
            <w:r>
              <w:rPr>
                <w:vertAlign w:val="superscript"/>
              </w:rPr>
              <w:t>3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80 MHz  ≤ BW</w:t>
            </w:r>
            <w:r>
              <w:rPr>
                <w:vertAlign w:val="subscript"/>
              </w:rPr>
              <w:t>Channel_CA</w:t>
            </w:r>
            <w:r>
              <w:t xml:space="preserve"> ≤ 300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4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O</w:t>
            </w:r>
            <w:r>
              <w:rPr>
                <w:vertAlign w:val="superscript"/>
              </w:rPr>
              <w:t>3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100 MHz ≤ BW</w:t>
            </w:r>
            <w:r>
              <w:rPr>
                <w:vertAlign w:val="subscript"/>
              </w:rPr>
              <w:t>Channel_CA</w:t>
            </w:r>
            <w:r>
              <w:t xml:space="preserve"> ≤ 400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5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865" w:type="dxa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BW</w:t>
            </w:r>
            <w:r>
              <w:rPr>
                <w:rStyle w:val="83"/>
                <w:vertAlign w:val="subscript"/>
              </w:rPr>
              <w:t>Channel,max</w:t>
            </w:r>
            <w:r>
              <w:t xml:space="preserve"> is maximum channel bandwidth supported among all bands in a release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It is mandatory for a UE to be able to fallback to lower order NR CA bandwidth class configuration within a fallback group. It is not mandatory for a UE to be able to fallback to lower order NA CA bandwidth class configuration that belong to a different fallback group.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This bandwidth class is only applicable to bands identified for use with shared spectrum channel access in Table 5.2-1.</w:t>
            </w:r>
          </w:p>
        </w:tc>
      </w:tr>
    </w:tbl>
    <w:p/>
    <w:p>
      <w:pPr>
        <w:pStyle w:val="55"/>
      </w:pPr>
      <w:r>
        <w:t xml:space="preserve">Table 5.3A.5-2: NR </w:t>
      </w:r>
      <w:ins w:id="3" w:author="China Unicom" w:date="2021-05-07T20:49:23Z">
        <w:r>
          <w:rPr/>
          <w:t xml:space="preserve">intra-band </w:t>
        </w:r>
      </w:ins>
      <w:r>
        <w:t xml:space="preserve">non-contiguous </w:t>
      </w:r>
      <w:ins w:id="4" w:author="China Unicom" w:date="2021-05-07T20:49:35Z">
        <w:r>
          <w:rPr/>
          <w:t xml:space="preserve">UL </w:t>
        </w:r>
      </w:ins>
      <w:r>
        <w:t>CA frequency separation classes</w:t>
      </w:r>
    </w:p>
    <w:tbl>
      <w:tblPr>
        <w:tblStyle w:val="42"/>
        <w:tblW w:w="712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878"/>
        <w:gridCol w:w="42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</w:pPr>
            <w:r>
              <w:t>NR NC CA frequency separation class</w:t>
            </w:r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</w:pPr>
            <w:ins w:id="5" w:author="China Unicom" w:date="2021-05-07T17:03:00Z">
              <w:r>
                <w:rPr/>
                <w:t>Maximum allowed frequency separation</w:t>
              </w:r>
            </w:ins>
            <w:del w:id="6" w:author="China Unicom" w:date="2021-05-07T17:02:46Z">
              <w:r>
                <w:rPr/>
                <w:delText>frequency separation</w:delText>
              </w:r>
            </w:del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I</w:t>
            </w:r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del w:id="7" w:author="China Unicom" w:date="2021-05-07T17:02:11Z">
              <w:r>
                <w:rPr/>
                <w:delText>20 MHz ≤ BW</w:delText>
              </w:r>
            </w:del>
            <w:del w:id="8" w:author="China Unicom" w:date="2021-05-07T17:02:11Z">
              <w:r>
                <w:rPr>
                  <w:vertAlign w:val="subscript"/>
                </w:rPr>
                <w:delText>Channel_NC_CA</w:delText>
              </w:r>
            </w:del>
            <w:del w:id="9" w:author="China Unicom" w:date="2021-05-07T17:02:11Z">
              <w:r>
                <w:rPr/>
                <w:delText xml:space="preserve"> ≤ </w:delText>
              </w:r>
            </w:del>
            <w:r>
              <w:t>100 MHz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II</w:t>
            </w:r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del w:id="10" w:author="China Unicom" w:date="2021-05-07T17:02:16Z">
              <w:r>
                <w:rPr/>
                <w:delText>100 MHz &lt; BW</w:delText>
              </w:r>
            </w:del>
            <w:del w:id="11" w:author="China Unicom" w:date="2021-05-07T17:02:16Z">
              <w:r>
                <w:rPr>
                  <w:vertAlign w:val="subscript"/>
                </w:rPr>
                <w:delText>Channel_NC_CA</w:delText>
              </w:r>
            </w:del>
            <w:del w:id="12" w:author="China Unicom" w:date="2021-05-07T17:02:16Z">
              <w:r>
                <w:rPr/>
                <w:delText xml:space="preserve"> ≤ </w:delText>
              </w:r>
            </w:del>
            <w:r>
              <w:t>200 MHz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III</w:t>
            </w:r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del w:id="13" w:author="China Unicom" w:date="2021-05-07T17:02:20Z">
              <w:r>
                <w:rPr/>
                <w:delText>200MHz&lt;BW</w:delText>
              </w:r>
            </w:del>
            <w:del w:id="14" w:author="China Unicom" w:date="2021-05-07T17:02:20Z">
              <w:r>
                <w:rPr>
                  <w:vertAlign w:val="subscript"/>
                </w:rPr>
                <w:delText>Channel_NC_CA</w:delText>
              </w:r>
            </w:del>
            <w:del w:id="15" w:author="China Unicom" w:date="2021-05-07T17:02:20Z">
              <w:r>
                <w:rPr/>
                <w:delText>≤</w:delText>
              </w:r>
            </w:del>
            <w:r>
              <w:t xml:space="preserve"> [600MHz]</w:t>
            </w:r>
          </w:p>
        </w:tc>
      </w:tr>
    </w:tbl>
    <w:p/>
    <w:p>
      <w:pPr>
        <w:keepNext/>
        <w:keepLines/>
        <w:spacing w:before="120"/>
        <w:ind w:left="1134" w:hanging="1134"/>
        <w:outlineLvl w:val="2"/>
        <w:rPr>
          <w:rFonts w:ascii="Arial" w:hAnsi="Arial" w:eastAsiaTheme="minorEastAsia"/>
          <w:color w:val="FF0000"/>
          <w:sz w:val="28"/>
        </w:rPr>
      </w:pPr>
      <w:r>
        <w:rPr>
          <w:rFonts w:ascii="Arial" w:hAnsi="Arial" w:eastAsiaTheme="minorEastAsia"/>
          <w:color w:val="FF0000"/>
          <w:sz w:val="28"/>
        </w:rPr>
        <w:t>&lt;Unchanged Text Skipped&gt;</w:t>
      </w:r>
    </w:p>
    <w:p>
      <w:pPr>
        <w:pStyle w:val="4"/>
      </w:pPr>
      <w:bookmarkStart w:id="18" w:name="_Toc69305864"/>
      <w:bookmarkStart w:id="19" w:name="_Toc36226449"/>
      <w:bookmarkStart w:id="20" w:name="_Toc44323704"/>
      <w:bookmarkStart w:id="21" w:name="_Toc60823044"/>
      <w:bookmarkStart w:id="22" w:name="_Toc27477770"/>
      <w:bookmarkStart w:id="23" w:name="_Toc60824967"/>
      <w:bookmarkStart w:id="24" w:name="_Toc52989855"/>
      <w:bookmarkStart w:id="25" w:name="_Toc69309719"/>
      <w:r>
        <w:t>5.4.4</w:t>
      </w:r>
      <w:r>
        <w:tab/>
      </w:r>
      <w:r>
        <w:t>TX–RX frequency separation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>
      <w:r>
        <w:t>The default TX channel (carrier centre frequency) to RX channel (carrier centre frequency) separation for operating bands is specified in Table 5.4.4-1.</w:t>
      </w:r>
    </w:p>
    <w:p>
      <w:pPr>
        <w:pStyle w:val="55"/>
      </w:pPr>
      <w:bookmarkStart w:id="26" w:name="OLE_LINK33"/>
      <w:bookmarkStart w:id="27" w:name="OLE_LINK34"/>
      <w:r>
        <w:t>Table 5.4.4-1: UE TX-RX frequency separation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7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1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NR Operating Band</w:t>
            </w:r>
          </w:p>
        </w:tc>
        <w:tc>
          <w:tcPr>
            <w:tcW w:w="269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TX </w:t>
            </w:r>
            <w:r>
              <w:rPr>
                <w:rFonts w:ascii="Arial" w:hAnsi="Arial" w:cs="v5.0.0"/>
                <w:b/>
                <w:sz w:val="18"/>
              </w:rPr>
              <w:t>–</w:t>
            </w:r>
            <w:r>
              <w:rPr>
                <w:rFonts w:ascii="Arial" w:hAnsi="Arial" w:cs="Arial"/>
                <w:b/>
                <w:sz w:val="18"/>
              </w:rPr>
              <w:t xml:space="preserve"> RX </w:t>
            </w:r>
            <w:r>
              <w:rPr>
                <w:rFonts w:ascii="Arial" w:hAnsi="Arial" w:cs="Arial"/>
                <w:b/>
                <w:sz w:val="18"/>
              </w:rPr>
              <w:br w:type="textWrapping"/>
            </w:r>
            <w:r>
              <w:rPr>
                <w:rFonts w:ascii="Arial" w:hAnsi="Arial" w:cs="Arial"/>
                <w:b/>
                <w:sz w:val="18"/>
              </w:rPr>
              <w:t>carrier centre frequency</w:t>
            </w:r>
            <w:r>
              <w:rPr>
                <w:rFonts w:ascii="Arial" w:hAnsi="Arial" w:cs="Arial"/>
                <w:b/>
                <w:sz w:val="18"/>
              </w:rPr>
              <w:br w:type="textWrapping"/>
            </w:r>
            <w:r>
              <w:rPr>
                <w:rFonts w:ascii="Arial" w:hAnsi="Arial" w:cs="Arial"/>
                <w:b/>
                <w:sz w:val="18"/>
              </w:rPr>
              <w:t>separation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190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80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95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n5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45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120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45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n12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30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n14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-30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-41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80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45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55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n30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45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n65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190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400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del w:id="16" w:author="China Unicom" w:date="2021-05-07T21:01:39Z">
              <w:r>
                <w:rPr>
                  <w:lang w:eastAsia="zh-CN"/>
                </w:rPr>
                <w:delText>295,</w:delText>
              </w:r>
            </w:del>
            <w:r>
              <w:rPr>
                <w:lang w:eastAsia="zh-CN"/>
              </w:rPr>
              <w:t>300</w:t>
            </w:r>
            <w:del w:id="17" w:author="China Unicom" w:date="2021-05-07T21:01:41Z">
              <w:r>
                <w:rPr>
                  <w:vertAlign w:val="superscript"/>
                  <w:lang w:eastAsia="zh-CN"/>
                </w:rPr>
                <w:delText>1</w:delText>
              </w:r>
            </w:del>
            <w:r>
              <w:rPr>
                <w:lang w:eastAsia="zh-CN"/>
              </w:rPr>
              <w:t xml:space="preserve">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n71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-46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n74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ins w:id="18" w:author="China Unicom" w:date="2021-05-07T21:03:03Z">
              <w:r>
                <w:rPr>
                  <w:lang w:eastAsia="ja-JP"/>
                </w:rPr>
                <w:t>Void</w:t>
              </w:r>
            </w:ins>
          </w:p>
        </w:tc>
      </w:tr>
    </w:tbl>
    <w:p/>
    <w:p>
      <w:pPr>
        <w:pStyle w:val="4"/>
      </w:pPr>
      <w:r>
        <w:rPr>
          <w:color w:val="FF0000"/>
        </w:rPr>
        <w:t>&lt;End of Changes&gt;</w:t>
      </w:r>
      <w:bookmarkEnd w:id="26"/>
      <w:bookmarkEnd w:id="27"/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33548AF"/>
    <w:rsid w:val="0485336C"/>
    <w:rsid w:val="08330215"/>
    <w:rsid w:val="0AF75638"/>
    <w:rsid w:val="0DF2352C"/>
    <w:rsid w:val="0E1B2626"/>
    <w:rsid w:val="0E697302"/>
    <w:rsid w:val="104969DC"/>
    <w:rsid w:val="12F43F43"/>
    <w:rsid w:val="1BA431D6"/>
    <w:rsid w:val="1DE05BCF"/>
    <w:rsid w:val="21580822"/>
    <w:rsid w:val="24033302"/>
    <w:rsid w:val="262466D2"/>
    <w:rsid w:val="29D61519"/>
    <w:rsid w:val="2BFE74A6"/>
    <w:rsid w:val="2D1B5595"/>
    <w:rsid w:val="2DB14F05"/>
    <w:rsid w:val="312222DB"/>
    <w:rsid w:val="345F7916"/>
    <w:rsid w:val="354F2CC9"/>
    <w:rsid w:val="38C46728"/>
    <w:rsid w:val="3AA602DE"/>
    <w:rsid w:val="3EE07A78"/>
    <w:rsid w:val="4092490B"/>
    <w:rsid w:val="42AA035C"/>
    <w:rsid w:val="43251AEF"/>
    <w:rsid w:val="45527679"/>
    <w:rsid w:val="488A79BB"/>
    <w:rsid w:val="497F27CE"/>
    <w:rsid w:val="4AB65D1D"/>
    <w:rsid w:val="4AFD5D65"/>
    <w:rsid w:val="4B950E0B"/>
    <w:rsid w:val="4D831D0B"/>
    <w:rsid w:val="4E0E7184"/>
    <w:rsid w:val="4E17227B"/>
    <w:rsid w:val="4F505CBF"/>
    <w:rsid w:val="4FA773D7"/>
    <w:rsid w:val="503C68FD"/>
    <w:rsid w:val="50D66D70"/>
    <w:rsid w:val="59474F46"/>
    <w:rsid w:val="5F6A0246"/>
    <w:rsid w:val="627D462A"/>
    <w:rsid w:val="63EE7335"/>
    <w:rsid w:val="64CF3D64"/>
    <w:rsid w:val="6A550986"/>
    <w:rsid w:val="6EFF324A"/>
    <w:rsid w:val="705E6B20"/>
    <w:rsid w:val="70C70694"/>
    <w:rsid w:val="71EC3AAC"/>
    <w:rsid w:val="723B2EE4"/>
    <w:rsid w:val="72FC32C4"/>
    <w:rsid w:val="75415C9A"/>
    <w:rsid w:val="75776F04"/>
    <w:rsid w:val="76C20CF1"/>
    <w:rsid w:val="784108F0"/>
    <w:rsid w:val="79872DD8"/>
    <w:rsid w:val="79B27865"/>
    <w:rsid w:val="7F75220E"/>
    <w:rsid w:val="FF63E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link w:val="8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TAC Char"/>
    <w:link w:val="52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ushi\Library\Containers\com.kingsoft.wpsoffice.mac\Data\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TotalTime>0</TotalTime>
  <ScaleCrop>false</ScaleCrop>
  <LinksUpToDate>false</LinksUpToDate>
  <CharactersWithSpaces>2376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2020-02-03T16:32:00Z</dcterms:created>
  <dc:creator>Michael Sanders, John M Meredith</dc:creator>
  <cp:lastModifiedBy>China Unicom</cp:lastModifiedBy>
  <cp:lastPrinted>2411-12-31T07:00:00Z</cp:lastPrinted>
  <dcterms:modified xsi:type="dcterms:W3CDTF">2021-05-17T02:34:36Z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R5-212678</vt:lpwstr>
  </property>
  <property fmtid="{D5CDD505-2E9C-101B-9397-08002B2CF9AE}" pid="10" name="Spec#">
    <vt:lpwstr>38.521-1</vt:lpwstr>
  </property>
  <property fmtid="{D5CDD505-2E9C-101B-9397-08002B2CF9AE}" pid="11" name="Cr#">
    <vt:lpwstr>1223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R16 new CBW configurations into TS38.521-1 clause 5</vt:lpwstr>
  </property>
  <property fmtid="{D5CDD505-2E9C-101B-9397-08002B2CF9AE}" pid="15" name="SourceIfWg">
    <vt:lpwstr>China Unicom, China Telecommunications</vt:lpwstr>
  </property>
  <property fmtid="{D5CDD505-2E9C-101B-9397-08002B2CF9AE}" pid="16" name="SourceIfTsg">
    <vt:lpwstr/>
  </property>
  <property fmtid="{D5CDD505-2E9C-101B-9397-08002B2CF9AE}" pid="17" name="RelatedWis">
    <vt:lpwstr>NR_bands_BW_R16-UEConTest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2052-11.1.0.10463</vt:lpwstr>
  </property>
  <property fmtid="{D5CDD505-2E9C-101B-9397-08002B2CF9AE}" pid="22" name="ICV">
    <vt:lpwstr>E2E377FEA4824727ACBEFEF88C70D2C4</vt:lpwstr>
  </property>
</Properties>
</file>